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F1156" w:rsidRDefault="0081741E">
      <w:pPr>
        <w:pStyle w:val="Title"/>
        <w:rPr>
          <w:rFonts w:hint="cs"/>
          <w:color w:val="000000" w:themeColor="text1"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  <w:rtl/>
        </w:rPr>
      </w:pPr>
    </w:p>
    <w:p w:rsidR="0081741E" w:rsidRPr="001F1156" w:rsidRDefault="0081741E">
      <w:pPr>
        <w:pStyle w:val="Title"/>
        <w:rPr>
          <w:color w:val="000000" w:themeColor="text1"/>
        </w:rPr>
      </w:pPr>
    </w:p>
    <w:p w:rsidR="0081741E" w:rsidRPr="001F1156" w:rsidRDefault="0081741E">
      <w:pPr>
        <w:pStyle w:val="Title"/>
        <w:rPr>
          <w:color w:val="000000" w:themeColor="text1"/>
        </w:rPr>
      </w:pPr>
    </w:p>
    <w:p w:rsidR="0081741E" w:rsidRPr="001F115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F115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F115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F1156" w:rsidRDefault="0081741E" w:rsidP="001A60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1F1156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1F1156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1A60AB" w:rsidRPr="001F1156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السادس</w:t>
      </w:r>
      <w:r w:rsidR="006416CA" w:rsidRPr="001F1156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1F1156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1F1156" w:rsidRDefault="006416CA">
      <w:pPr>
        <w:pStyle w:val="Heading7"/>
        <w:rPr>
          <w:color w:val="000000" w:themeColor="text1"/>
          <w:sz w:val="28"/>
          <w:szCs w:val="28"/>
          <w:rtl/>
        </w:rPr>
      </w:pPr>
      <w:r w:rsidRPr="001F1156">
        <w:rPr>
          <w:rFonts w:hint="cs"/>
          <w:color w:val="000000" w:themeColor="text1"/>
          <w:sz w:val="28"/>
          <w:szCs w:val="28"/>
          <w:rtl/>
        </w:rPr>
        <w:t>الأسعار والارقام القياسية</w:t>
      </w:r>
    </w:p>
    <w:p w:rsidR="0081741E" w:rsidRPr="001F115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F115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F115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F115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F115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F115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F1156" w:rsidRDefault="0081741E">
      <w:pPr>
        <w:rPr>
          <w:rFonts w:cs="Times New Roman"/>
          <w:color w:val="000000" w:themeColor="text1"/>
          <w:rtl/>
        </w:rPr>
      </w:pPr>
    </w:p>
    <w:p w:rsidR="0081741E" w:rsidRPr="001F115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F115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F1156" w:rsidRDefault="0081741E">
      <w:pPr>
        <w:rPr>
          <w:rFonts w:cs="Times New Roman"/>
          <w:color w:val="000000" w:themeColor="text1"/>
          <w:rtl/>
        </w:rPr>
      </w:pPr>
    </w:p>
    <w:p w:rsidR="0081741E" w:rsidRPr="001F1156" w:rsidRDefault="0081741E">
      <w:pPr>
        <w:rPr>
          <w:rFonts w:cs="Times New Roman"/>
          <w:color w:val="000000" w:themeColor="text1"/>
          <w:rtl/>
        </w:rPr>
      </w:pPr>
    </w:p>
    <w:p w:rsidR="006109B7" w:rsidRPr="001F1156" w:rsidRDefault="00D776A5" w:rsidP="006109B7">
      <w:pPr>
        <w:ind w:left="-1"/>
        <w:jc w:val="lowKashida"/>
        <w:rPr>
          <w:rFonts w:cs="Simplified Arabic"/>
          <w:b/>
          <w:bCs/>
          <w:color w:val="000000" w:themeColor="text1"/>
          <w:rtl/>
        </w:rPr>
      </w:pPr>
      <w:r w:rsidRPr="001F1156">
        <w:rPr>
          <w:rFonts w:cs="Simplified Arabic"/>
          <w:b/>
          <w:bCs/>
          <w:color w:val="000000" w:themeColor="text1"/>
          <w:rtl/>
        </w:rPr>
        <w:br w:type="page"/>
      </w:r>
      <w:r w:rsidR="006109B7" w:rsidRPr="001F1156">
        <w:rPr>
          <w:rFonts w:cs="Simplified Arabic"/>
          <w:b/>
          <w:bCs/>
          <w:color w:val="000000" w:themeColor="text1"/>
          <w:rtl/>
        </w:rPr>
        <w:lastRenderedPageBreak/>
        <w:t>حركة أسعار المستهلك</w:t>
      </w:r>
    </w:p>
    <w:p w:rsidR="006109B7" w:rsidRPr="001F1156" w:rsidRDefault="006109B7" w:rsidP="00BD772D">
      <w:pPr>
        <w:ind w:left="83"/>
        <w:jc w:val="lowKashida"/>
        <w:rPr>
          <w:rFonts w:cs="Simplified Arabic"/>
          <w:color w:val="000000" w:themeColor="text1"/>
          <w:rtl/>
        </w:rPr>
      </w:pPr>
      <w:r w:rsidRPr="001F1156">
        <w:rPr>
          <w:rFonts w:cs="Simplified Arabic"/>
          <w:color w:val="000000" w:themeColor="text1"/>
          <w:rtl/>
        </w:rPr>
        <w:t xml:space="preserve">سجل </w:t>
      </w:r>
      <w:r w:rsidR="00BD772D">
        <w:rPr>
          <w:rFonts w:cs="Simplified Arabic" w:hint="cs"/>
          <w:color w:val="000000" w:themeColor="text1"/>
          <w:rtl/>
        </w:rPr>
        <w:t>الرقم القياسي لأسعار المستهلك</w:t>
      </w:r>
      <w:r w:rsidRPr="001F1156">
        <w:rPr>
          <w:rFonts w:cs="Simplified Arabic"/>
          <w:color w:val="000000" w:themeColor="text1"/>
          <w:rtl/>
        </w:rPr>
        <w:t xml:space="preserve"> في</w:t>
      </w:r>
      <w:r w:rsidRPr="001F1156">
        <w:rPr>
          <w:rFonts w:cs="Simplified Arabic" w:hint="cs"/>
          <w:color w:val="000000" w:themeColor="text1"/>
          <w:rtl/>
        </w:rPr>
        <w:t xml:space="preserve"> محافظة </w:t>
      </w:r>
      <w:r w:rsidRPr="001F1156">
        <w:rPr>
          <w:rFonts w:cs="Simplified Arabic"/>
          <w:color w:val="000000" w:themeColor="text1"/>
          <w:rtl/>
        </w:rPr>
        <w:t>القدس</w:t>
      </w:r>
      <w:r w:rsidRPr="001F1156">
        <w:rPr>
          <w:rFonts w:cs="Simplified Arabic" w:hint="cs"/>
          <w:color w:val="000000" w:themeColor="text1"/>
          <w:rtl/>
        </w:rPr>
        <w:t xml:space="preserve"> منطقة </w:t>
      </w:r>
      <w:r w:rsidRPr="001F1156">
        <w:rPr>
          <w:rFonts w:cs="Simplified Arabic"/>
          <w:color w:val="000000" w:themeColor="text1"/>
        </w:rPr>
        <w:t>(J1)</w:t>
      </w:r>
      <w:r w:rsidRPr="001F1156">
        <w:rPr>
          <w:rFonts w:cs="Simplified Arabic" w:hint="cs"/>
          <w:color w:val="000000" w:themeColor="text1"/>
          <w:rtl/>
        </w:rPr>
        <w:t xml:space="preserve"> عام </w:t>
      </w:r>
      <w:r w:rsidR="00C3296D" w:rsidRPr="001F1156">
        <w:rPr>
          <w:rFonts w:cs="Simplified Arabic" w:hint="cs"/>
          <w:color w:val="000000" w:themeColor="text1"/>
          <w:rtl/>
        </w:rPr>
        <w:t>2013</w:t>
      </w:r>
      <w:r w:rsidRPr="001F1156">
        <w:rPr>
          <w:rFonts w:cs="Simplified Arabic" w:hint="cs"/>
          <w:color w:val="000000" w:themeColor="text1"/>
          <w:rtl/>
        </w:rPr>
        <w:t xml:space="preserve"> </w:t>
      </w:r>
      <w:r w:rsidR="00C106AB">
        <w:rPr>
          <w:rFonts w:cs="Simplified Arabic" w:hint="cs"/>
          <w:color w:val="000000" w:themeColor="text1"/>
          <w:rtl/>
        </w:rPr>
        <w:t>ا</w:t>
      </w:r>
      <w:r w:rsidRPr="001F1156">
        <w:rPr>
          <w:rFonts w:cs="Simplified Arabic" w:hint="cs"/>
          <w:color w:val="000000" w:themeColor="text1"/>
          <w:rtl/>
        </w:rPr>
        <w:t xml:space="preserve">رتفاعاً بنسبة </w:t>
      </w:r>
      <w:r w:rsidR="00C3296D" w:rsidRPr="001F1156">
        <w:rPr>
          <w:rFonts w:cs="Simplified Arabic" w:hint="cs"/>
          <w:color w:val="000000" w:themeColor="text1"/>
          <w:rtl/>
        </w:rPr>
        <w:t>1.81</w:t>
      </w:r>
      <w:r w:rsidRPr="001F1156">
        <w:rPr>
          <w:rFonts w:cs="Simplified Arabic" w:hint="cs"/>
          <w:color w:val="000000" w:themeColor="text1"/>
          <w:rtl/>
        </w:rPr>
        <w:t>% مقارنة ب</w:t>
      </w:r>
      <w:r w:rsidR="003A647C" w:rsidRPr="001F1156">
        <w:rPr>
          <w:rFonts w:cs="Simplified Arabic" w:hint="cs"/>
          <w:color w:val="000000" w:themeColor="text1"/>
          <w:rtl/>
        </w:rPr>
        <w:t>ال</w:t>
      </w:r>
      <w:r w:rsidRPr="001F1156">
        <w:rPr>
          <w:rFonts w:cs="Simplified Arabic" w:hint="cs"/>
          <w:color w:val="000000" w:themeColor="text1"/>
          <w:rtl/>
        </w:rPr>
        <w:t xml:space="preserve">عام </w:t>
      </w:r>
      <w:r w:rsidR="00C3296D" w:rsidRPr="001F1156">
        <w:rPr>
          <w:rFonts w:cs="Simplified Arabic" w:hint="cs"/>
          <w:color w:val="000000" w:themeColor="text1"/>
          <w:rtl/>
        </w:rPr>
        <w:t>2012</w:t>
      </w:r>
      <w:r w:rsidRPr="001F1156">
        <w:rPr>
          <w:rFonts w:cs="Simplified Arabic" w:hint="cs"/>
          <w:color w:val="000000" w:themeColor="text1"/>
          <w:rtl/>
        </w:rPr>
        <w:t xml:space="preserve">، </w:t>
      </w:r>
      <w:r w:rsidR="003A647C" w:rsidRPr="001F1156">
        <w:rPr>
          <w:rFonts w:cs="Simplified Arabic" w:hint="cs"/>
          <w:color w:val="000000" w:themeColor="text1"/>
          <w:rtl/>
        </w:rPr>
        <w:t>في حين</w:t>
      </w:r>
      <w:r w:rsidRPr="001F1156">
        <w:rPr>
          <w:rFonts w:cs="Simplified Arabic" w:hint="cs"/>
          <w:color w:val="000000" w:themeColor="text1"/>
          <w:rtl/>
        </w:rPr>
        <w:t xml:space="preserve"> إرتفع في عام </w:t>
      </w:r>
      <w:r w:rsidR="00C3296D" w:rsidRPr="001F1156">
        <w:rPr>
          <w:rFonts w:cs="Simplified Arabic" w:hint="cs"/>
          <w:color w:val="000000" w:themeColor="text1"/>
          <w:rtl/>
        </w:rPr>
        <w:t>2012</w:t>
      </w:r>
      <w:r w:rsidRPr="001F1156">
        <w:rPr>
          <w:rFonts w:cs="Simplified Arabic" w:hint="cs"/>
          <w:color w:val="000000" w:themeColor="text1"/>
          <w:rtl/>
        </w:rPr>
        <w:t xml:space="preserve"> بنسبة </w:t>
      </w:r>
      <w:r w:rsidR="00C3296D" w:rsidRPr="001F1156">
        <w:rPr>
          <w:rFonts w:cs="Simplified Arabic" w:hint="cs"/>
          <w:color w:val="000000" w:themeColor="text1"/>
          <w:rtl/>
        </w:rPr>
        <w:t>3.23</w:t>
      </w:r>
      <w:r w:rsidRPr="001F1156">
        <w:rPr>
          <w:rFonts w:cs="Simplified Arabic" w:hint="cs"/>
          <w:color w:val="000000" w:themeColor="text1"/>
          <w:rtl/>
        </w:rPr>
        <w:t xml:space="preserve">% مقارنة </w:t>
      </w:r>
      <w:r w:rsidR="003A647C" w:rsidRPr="001F1156">
        <w:rPr>
          <w:rFonts w:cs="Simplified Arabic" w:hint="cs"/>
          <w:color w:val="000000" w:themeColor="text1"/>
          <w:rtl/>
        </w:rPr>
        <w:t>بالعام</w:t>
      </w:r>
      <w:r w:rsidRPr="001F1156">
        <w:rPr>
          <w:rFonts w:cs="Simplified Arabic" w:hint="cs"/>
          <w:color w:val="000000" w:themeColor="text1"/>
          <w:rtl/>
        </w:rPr>
        <w:t xml:space="preserve"> </w:t>
      </w:r>
      <w:r w:rsidR="00C3296D" w:rsidRPr="001F1156">
        <w:rPr>
          <w:rFonts w:cs="Simplified Arabic" w:hint="cs"/>
          <w:color w:val="000000" w:themeColor="text1"/>
          <w:rtl/>
        </w:rPr>
        <w:t>2011</w:t>
      </w:r>
      <w:r w:rsidRPr="001F1156">
        <w:rPr>
          <w:rFonts w:cs="Simplified Arabic" w:hint="cs"/>
          <w:color w:val="000000" w:themeColor="text1"/>
          <w:rtl/>
        </w:rPr>
        <w:t xml:space="preserve">. </w:t>
      </w:r>
      <w:r w:rsidRPr="001F1156">
        <w:rPr>
          <w:rFonts w:cs="Simplified Arabic"/>
          <w:color w:val="000000" w:themeColor="text1"/>
          <w:rtl/>
        </w:rPr>
        <w:t xml:space="preserve"> </w:t>
      </w:r>
      <w:r w:rsidRPr="001F1156">
        <w:rPr>
          <w:rFonts w:cs="Simplified Arabic" w:hint="cs"/>
          <w:color w:val="000000" w:themeColor="text1"/>
          <w:rtl/>
        </w:rPr>
        <w:t xml:space="preserve">وكان قد سجل </w:t>
      </w:r>
      <w:r w:rsidR="00C106AB">
        <w:rPr>
          <w:rFonts w:cs="Simplified Arabic" w:hint="cs"/>
          <w:color w:val="000000" w:themeColor="text1"/>
          <w:rtl/>
        </w:rPr>
        <w:t>ا</w:t>
      </w:r>
      <w:r w:rsidRPr="001F1156">
        <w:rPr>
          <w:rFonts w:cs="Simplified Arabic" w:hint="cs"/>
          <w:color w:val="000000" w:themeColor="text1"/>
          <w:rtl/>
        </w:rPr>
        <w:t xml:space="preserve">رتفاعاً في عام </w:t>
      </w:r>
      <w:r w:rsidR="00C3296D" w:rsidRPr="001F1156">
        <w:rPr>
          <w:rFonts w:hint="cs"/>
          <w:color w:val="000000" w:themeColor="text1"/>
          <w:rtl/>
        </w:rPr>
        <w:t>2011</w:t>
      </w:r>
      <w:r w:rsidRPr="001F1156">
        <w:rPr>
          <w:rFonts w:cs="Simplified Arabic" w:hint="cs"/>
          <w:color w:val="000000" w:themeColor="text1"/>
          <w:rtl/>
        </w:rPr>
        <w:t xml:space="preserve"> بنسبة </w:t>
      </w:r>
      <w:r w:rsidR="00C3296D" w:rsidRPr="001F1156">
        <w:rPr>
          <w:rFonts w:cs="Simplified Arabic" w:hint="cs"/>
          <w:color w:val="000000" w:themeColor="text1"/>
          <w:rtl/>
        </w:rPr>
        <w:t>4.13</w:t>
      </w:r>
      <w:r w:rsidRPr="001F1156">
        <w:rPr>
          <w:rFonts w:cs="Simplified Arabic" w:hint="cs"/>
          <w:color w:val="000000" w:themeColor="text1"/>
          <w:rtl/>
        </w:rPr>
        <w:t xml:space="preserve">% مقارنة </w:t>
      </w:r>
      <w:r w:rsidR="003A647C" w:rsidRPr="001F1156">
        <w:rPr>
          <w:rFonts w:cs="Simplified Arabic" w:hint="cs"/>
          <w:color w:val="000000" w:themeColor="text1"/>
          <w:rtl/>
        </w:rPr>
        <w:t>بالعالم</w:t>
      </w:r>
      <w:r w:rsidRPr="001F1156">
        <w:rPr>
          <w:rFonts w:cs="Simplified Arabic" w:hint="cs"/>
          <w:color w:val="000000" w:themeColor="text1"/>
          <w:rtl/>
        </w:rPr>
        <w:t xml:space="preserve"> </w:t>
      </w:r>
      <w:r w:rsidR="00C3296D" w:rsidRPr="001F1156">
        <w:rPr>
          <w:rFonts w:hint="cs"/>
          <w:color w:val="000000" w:themeColor="text1"/>
          <w:rtl/>
        </w:rPr>
        <w:t>2010</w:t>
      </w:r>
      <w:r w:rsidRPr="001F1156">
        <w:rPr>
          <w:rFonts w:cs="Simplified Arabic" w:hint="cs"/>
          <w:color w:val="000000" w:themeColor="text1"/>
          <w:rtl/>
        </w:rPr>
        <w:t xml:space="preserve">. </w:t>
      </w:r>
    </w:p>
    <w:p w:rsidR="006109B7" w:rsidRPr="001F1156" w:rsidRDefault="006109B7" w:rsidP="006109B7">
      <w:pPr>
        <w:ind w:left="83"/>
        <w:jc w:val="lowKashida"/>
        <w:rPr>
          <w:rFonts w:cs="Simplified Arabic"/>
          <w:color w:val="000000" w:themeColor="text1"/>
          <w:rtl/>
        </w:rPr>
      </w:pPr>
    </w:p>
    <w:p w:rsidR="006109B7" w:rsidRPr="003475A0" w:rsidRDefault="006109B7" w:rsidP="00993289">
      <w:pPr>
        <w:ind w:left="6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الأرقام القياسية لأسعار المستهلك في محافظة القدس منطقة (</w:t>
      </w:r>
      <w:r w:rsidR="0099328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حسب الشهر، </w:t>
      </w:r>
      <w:r w:rsidR="002C7987"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2013</w:t>
      </w:r>
    </w:p>
    <w:p w:rsidR="006109B7" w:rsidRPr="001F1156" w:rsidRDefault="006109B7" w:rsidP="002C7987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F115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Consumer Price Index in Jerusalem Governorate Area (J1) by Month, </w:t>
      </w:r>
      <w:r w:rsidR="002C7987" w:rsidRPr="001F115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6109B7" w:rsidRPr="001F1156" w:rsidRDefault="006109B7" w:rsidP="006109B7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6109B7" w:rsidRPr="001F1156" w:rsidRDefault="006109B7" w:rsidP="006109B7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6109B7" w:rsidRPr="001F1156" w:rsidRDefault="006109B7" w:rsidP="00623DAA">
      <w:pPr>
        <w:ind w:left="-283" w:right="-567"/>
        <w:rPr>
          <w:rFonts w:cs="Simplified Arabic"/>
          <w:color w:val="000000" w:themeColor="text1"/>
          <w:sz w:val="14"/>
          <w:szCs w:val="14"/>
          <w:rtl/>
        </w:rPr>
      </w:pPr>
      <w:r w:rsidRPr="001F1156">
        <w:rPr>
          <w:rFonts w:cs="Simplified Arabic" w:hint="cs"/>
          <w:color w:val="000000" w:themeColor="text1"/>
          <w:sz w:val="14"/>
          <w:szCs w:val="14"/>
          <w:rtl/>
        </w:rPr>
        <w:t xml:space="preserve">   سنة الأساس 2004= 100                                                                                                                           </w:t>
      </w:r>
      <w:r w:rsidRPr="001F1156">
        <w:rPr>
          <w:rFonts w:ascii="Arial" w:hAnsi="Arial" w:cs="Arial"/>
          <w:color w:val="000000" w:themeColor="text1"/>
          <w:sz w:val="14"/>
          <w:szCs w:val="14"/>
        </w:rPr>
        <w:t>Base  Year 2004=100</w:t>
      </w:r>
      <w:r w:rsidRPr="001F1156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</w:t>
      </w:r>
    </w:p>
    <w:p w:rsidR="006109B7" w:rsidRPr="003475A0" w:rsidRDefault="00911315" w:rsidP="00C106AB">
      <w:pPr>
        <w:ind w:left="-284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3475A0">
        <w:rPr>
          <w:rFonts w:ascii="Simplified Arabic" w:hAnsi="Simplified Arabic" w:cs="Simplified Arabic"/>
          <w:b/>
          <w:bCs/>
          <w:color w:val="000000" w:themeColor="text1"/>
          <w:bdr w:val="single" w:sz="4" w:space="0" w:color="auto"/>
        </w:rPr>
        <w:drawing>
          <wp:inline distT="0" distB="0" distL="0" distR="0">
            <wp:extent cx="5162550" cy="30099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6109B7"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  <w:br w:type="page"/>
      </w:r>
      <w:r w:rsidR="006109B7"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الأرقام القياسية السنوية </w:t>
      </w:r>
      <w:r w:rsidR="00C106AB"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لأسعار </w:t>
      </w:r>
      <w:r w:rsidR="006109B7"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المستهلك ونسبة التغير حسب أقسام الإنفاق الرئيسية في محافظة </w:t>
      </w:r>
      <w:r w:rsidR="006109B7"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القدس  </w:t>
      </w:r>
    </w:p>
    <w:p w:rsidR="006109B7" w:rsidRPr="003475A0" w:rsidRDefault="006109B7" w:rsidP="002C7987">
      <w:pPr>
        <w:ind w:left="-284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             منطقة (</w:t>
      </w:r>
      <w:r w:rsidRPr="003475A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)، </w:t>
      </w:r>
      <w:r w:rsidR="002C7987"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>2012</w:t>
      </w:r>
      <w:r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, </w:t>
      </w:r>
      <w:r w:rsidR="002C7987" w:rsidRPr="003475A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>2013</w:t>
      </w:r>
    </w:p>
    <w:p w:rsidR="006109B7" w:rsidRPr="001F1156" w:rsidRDefault="006109B7" w:rsidP="002C7987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1F115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Yearly Consumer Price Index Numbers and Percent Change by Major Groups in Jerusalem Governorate Area (J1), </w:t>
      </w:r>
      <w:r w:rsidR="002C7987" w:rsidRPr="001F1156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2012</w:t>
      </w:r>
      <w:r w:rsidRPr="001F1156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="002C7987" w:rsidRPr="001F1156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2013</w:t>
      </w:r>
    </w:p>
    <w:p w:rsidR="006109B7" w:rsidRPr="001F1156" w:rsidRDefault="006109B7" w:rsidP="006109B7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2"/>
          <w:szCs w:val="12"/>
        </w:rPr>
      </w:pPr>
    </w:p>
    <w:tbl>
      <w:tblPr>
        <w:tblW w:w="7938" w:type="dxa"/>
        <w:jc w:val="center"/>
        <w:tblLayout w:type="fixed"/>
        <w:tblLook w:val="0000"/>
      </w:tblPr>
      <w:tblGrid>
        <w:gridCol w:w="34"/>
        <w:gridCol w:w="2766"/>
        <w:gridCol w:w="1165"/>
        <w:gridCol w:w="22"/>
        <w:gridCol w:w="309"/>
        <w:gridCol w:w="589"/>
        <w:gridCol w:w="757"/>
        <w:gridCol w:w="2296"/>
      </w:tblGrid>
      <w:tr w:rsidR="006109B7" w:rsidRPr="003475A0" w:rsidTr="003475A0">
        <w:trPr>
          <w:gridBefore w:val="1"/>
          <w:wBefore w:w="32" w:type="dxa"/>
          <w:trHeight w:val="312"/>
          <w:jc w:val="center"/>
        </w:trPr>
        <w:tc>
          <w:tcPr>
            <w:tcW w:w="3670" w:type="dxa"/>
            <w:gridSpan w:val="3"/>
            <w:vAlign w:val="center"/>
          </w:tcPr>
          <w:p w:rsidR="006109B7" w:rsidRPr="003475A0" w:rsidRDefault="006109B7" w:rsidP="006600C9">
            <w:pPr>
              <w:ind w:right="8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Base Year 2004= 100</w:t>
            </w:r>
          </w:p>
        </w:tc>
        <w:tc>
          <w:tcPr>
            <w:tcW w:w="3669" w:type="dxa"/>
            <w:gridSpan w:val="4"/>
            <w:vAlign w:val="center"/>
          </w:tcPr>
          <w:p w:rsidR="006109B7" w:rsidRPr="003475A0" w:rsidRDefault="006109B7" w:rsidP="006600C9">
            <w:pPr>
              <w:ind w:right="83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سنة الأساس</w:t>
            </w:r>
            <w:r w:rsidRPr="003475A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2004=100  </w:t>
            </w:r>
          </w:p>
        </w:tc>
      </w:tr>
      <w:tr w:rsidR="002C7987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C7987" w:rsidRPr="003475A0" w:rsidRDefault="002C7987" w:rsidP="006600C9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C7987" w:rsidRPr="003475A0" w:rsidRDefault="002C7987" w:rsidP="006600C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نسبة التغير*</w:t>
            </w:r>
          </w:p>
          <w:p w:rsidR="002C7987" w:rsidRPr="003475A0" w:rsidRDefault="002C7987" w:rsidP="006600C9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% Change*</w:t>
            </w:r>
          </w:p>
        </w:tc>
        <w:tc>
          <w:tcPr>
            <w:tcW w:w="8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C7987" w:rsidRPr="003475A0" w:rsidRDefault="002C7987" w:rsidP="006600C9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C7987" w:rsidRPr="003475A0" w:rsidRDefault="002C7987" w:rsidP="00E92E1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C7987" w:rsidRPr="003475A0" w:rsidRDefault="002C7987" w:rsidP="006600C9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Hlk225139509"/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-0.70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154.85</w:t>
            </w:r>
          </w:p>
        </w:tc>
        <w:tc>
          <w:tcPr>
            <w:tcW w:w="703" w:type="dxa"/>
            <w:tcBorders>
              <w:top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155.94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106AB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Al</w:t>
            </w:r>
            <w:r w:rsidR="00C3296D"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coholic beverages and tobacco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14.17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202.48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177.34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-0.18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128.13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128.36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5.74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133.21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125.97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C106A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Furniture</w:t>
            </w:r>
            <w:r w:rsidR="00C106A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and</w:t>
            </w: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household goods 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3.61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120.46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116.26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 والمفروشات والسلع  المنزلية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2.50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128.11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124.99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0.28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143.81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143.41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-0.03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103.49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103.52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-0.03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114.32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114.36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106AB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</w:t>
            </w:r>
            <w:r w:rsidR="00C3296D"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الثقافية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7.90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128.61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119.20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2.78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160.94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156.59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  <w:tc>
          <w:tcPr>
            <w:tcW w:w="1082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0.42</w:t>
            </w:r>
          </w:p>
        </w:tc>
        <w:tc>
          <w:tcPr>
            <w:tcW w:w="854" w:type="dxa"/>
            <w:gridSpan w:val="3"/>
            <w:tcBorders>
              <w:left w:val="nil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121.91</w:t>
            </w:r>
          </w:p>
        </w:tc>
        <w:tc>
          <w:tcPr>
            <w:tcW w:w="703" w:type="dxa"/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121.40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سلع وخدمات متنوعة</w:t>
            </w:r>
          </w:p>
        </w:tc>
      </w:tr>
      <w:tr w:rsidR="00C3296D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600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C3296D" w:rsidRPr="003475A0" w:rsidRDefault="00C3296D" w:rsidP="006600C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All Items of </w:t>
            </w:r>
            <w:r w:rsidR="00B2104E"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consumer price index</w:t>
            </w: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1.81</w:t>
            </w:r>
          </w:p>
        </w:tc>
        <w:tc>
          <w:tcPr>
            <w:tcW w:w="854" w:type="dxa"/>
            <w:gridSpan w:val="3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C3296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140.90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C3296D" w:rsidRPr="003475A0" w:rsidRDefault="00C3296D" w:rsidP="00E92E1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138.40</w:t>
            </w:r>
          </w:p>
        </w:tc>
        <w:tc>
          <w:tcPr>
            <w:tcW w:w="213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C3296D" w:rsidRPr="003475A0" w:rsidRDefault="00C3296D" w:rsidP="006600C9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</w:tr>
      <w:bookmarkEnd w:id="0"/>
      <w:tr w:rsidR="006109B7" w:rsidRPr="003475A0" w:rsidTr="003475A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989" w:type="dxa"/>
            <w:gridSpan w:val="5"/>
            <w:tcBorders>
              <w:top w:val="single" w:sz="4" w:space="0" w:color="auto"/>
            </w:tcBorders>
            <w:vAlign w:val="center"/>
          </w:tcPr>
          <w:p w:rsidR="006109B7" w:rsidRPr="00993289" w:rsidRDefault="006109B7" w:rsidP="00C106AB">
            <w:pPr>
              <w:tabs>
                <w:tab w:val="left" w:pos="-284"/>
                <w:tab w:val="left" w:pos="7513"/>
                <w:tab w:val="right" w:pos="8505"/>
              </w:tabs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*  </w:t>
            </w:r>
            <w:r w:rsidR="00AA0063"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 </w:t>
            </w:r>
            <w:r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>Change</w:t>
            </w:r>
            <w:r w:rsidR="00C106AB"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in</w:t>
            </w:r>
            <w:r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C106AB"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>t</w:t>
            </w:r>
            <w:r w:rsidR="00AA0063"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>he the index</w:t>
            </w:r>
            <w:r w:rsidR="00C106AB"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9E780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is </w:t>
            </w:r>
            <w:r w:rsidR="00AA0063" w:rsidRPr="00993289">
              <w:rPr>
                <w:rFonts w:ascii="Arial" w:hAnsi="Arial" w:cs="Arial"/>
                <w:color w:val="000000" w:themeColor="text1"/>
                <w:sz w:val="16"/>
                <w:szCs w:val="16"/>
              </w:rPr>
              <w:t>calculated by dividing the price index of a particular period by the price index of another comparison period, multiplied by one hundred, then subtracting one hundred.</w:t>
            </w:r>
          </w:p>
        </w:tc>
        <w:tc>
          <w:tcPr>
            <w:tcW w:w="3382" w:type="dxa"/>
            <w:gridSpan w:val="3"/>
            <w:tcBorders>
              <w:top w:val="single" w:sz="4" w:space="0" w:color="auto"/>
            </w:tcBorders>
            <w:vAlign w:val="center"/>
          </w:tcPr>
          <w:p w:rsidR="00AA0063" w:rsidRPr="003475A0" w:rsidRDefault="006109B7" w:rsidP="00C106AB">
            <w:pPr>
              <w:pStyle w:val="BlockText"/>
              <w:ind w:left="0" w:firstLine="140"/>
              <w:jc w:val="both"/>
              <w:rPr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3475A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3475A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نسب</w:t>
            </w:r>
            <w:r w:rsidR="00AA0063" w:rsidRPr="003475A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  <w:r w:rsidRPr="003475A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التغير </w:t>
            </w:r>
            <w:r w:rsidR="00C106AB">
              <w:rPr>
                <w:rFonts w:hint="cs"/>
                <w:color w:val="000000" w:themeColor="text1"/>
                <w:sz w:val="16"/>
                <w:szCs w:val="16"/>
                <w:rtl/>
              </w:rPr>
              <w:t>في</w:t>
            </w:r>
            <w:r w:rsidR="00AA0063" w:rsidRPr="003475A0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الرقم القياسي </w:t>
            </w:r>
            <w:r w:rsidR="00AA0063" w:rsidRPr="003475A0">
              <w:rPr>
                <w:color w:val="000000" w:themeColor="text1"/>
                <w:sz w:val="16"/>
                <w:szCs w:val="16"/>
                <w:rtl/>
              </w:rPr>
              <w:t>تحسب بقسمة الرقم القياسي لفترة ما على الرقم القياسي لفترة المقارنة مضروبا</w:t>
            </w:r>
            <w:r w:rsidR="00AA0063" w:rsidRPr="003475A0">
              <w:rPr>
                <w:rFonts w:hint="cs"/>
                <w:color w:val="000000" w:themeColor="text1"/>
                <w:sz w:val="16"/>
                <w:szCs w:val="16"/>
                <w:rtl/>
              </w:rPr>
              <w:t>ً</w:t>
            </w:r>
            <w:r w:rsidR="00AA0063" w:rsidRPr="003475A0">
              <w:rPr>
                <w:color w:val="000000" w:themeColor="text1"/>
                <w:sz w:val="16"/>
                <w:szCs w:val="16"/>
                <w:rtl/>
              </w:rPr>
              <w:t xml:space="preserve"> في مئة ثم طرح مئة.</w:t>
            </w:r>
          </w:p>
          <w:p w:rsidR="006109B7" w:rsidRPr="003475A0" w:rsidRDefault="006109B7" w:rsidP="006600C9">
            <w:pPr>
              <w:tabs>
                <w:tab w:val="left" w:pos="4820"/>
                <w:tab w:val="left" w:pos="5245"/>
                <w:tab w:val="left" w:pos="7230"/>
                <w:tab w:val="left" w:pos="7513"/>
              </w:tabs>
              <w:ind w:left="113" w:hanging="113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6109B7" w:rsidRPr="001F1156" w:rsidRDefault="006109B7" w:rsidP="006109B7">
      <w:pPr>
        <w:bidi w:val="0"/>
        <w:jc w:val="center"/>
        <w:rPr>
          <w:color w:val="000000" w:themeColor="text1"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6109B7" w:rsidRPr="001F1156" w:rsidRDefault="006109B7" w:rsidP="006109B7">
      <w:pPr>
        <w:bidi w:val="0"/>
        <w:rPr>
          <w:rFonts w:ascii="Arial" w:hAnsi="Arial" w:cs="Arial"/>
          <w:b/>
          <w:bCs/>
          <w:color w:val="000000" w:themeColor="text1"/>
        </w:rPr>
      </w:pPr>
      <w:r w:rsidRPr="001F1156">
        <w:rPr>
          <w:rFonts w:ascii="Arial" w:hAnsi="Arial" w:cs="Arial"/>
          <w:b/>
          <w:bCs/>
          <w:color w:val="000000" w:themeColor="text1"/>
        </w:rPr>
        <w:br w:type="page"/>
      </w:r>
    </w:p>
    <w:p w:rsidR="006109B7" w:rsidRPr="001F1156" w:rsidRDefault="006109B7" w:rsidP="006109B7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F115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الأوزان المستخدمة في عمليات احتساب الرقم القياسي لأسعار المستهلك</w:t>
      </w:r>
      <w:r w:rsidRPr="001F115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F115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1F115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F115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1F115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2004 </w:t>
      </w:r>
    </w:p>
    <w:p w:rsidR="006109B7" w:rsidRPr="001F1156" w:rsidRDefault="006109B7" w:rsidP="006109B7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F115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Relative Weights of Major Groups of Expenditure Included in the Consumer Basket by Region, </w:t>
      </w:r>
      <w:r w:rsidRPr="001F115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2004</w:t>
      </w:r>
    </w:p>
    <w:p w:rsidR="006109B7" w:rsidRPr="001F1156" w:rsidRDefault="006109B7" w:rsidP="006109B7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761" w:type="dxa"/>
        <w:jc w:val="center"/>
        <w:tblInd w:w="-3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"/>
        <w:gridCol w:w="2008"/>
        <w:gridCol w:w="921"/>
        <w:gridCol w:w="921"/>
        <w:gridCol w:w="921"/>
        <w:gridCol w:w="922"/>
        <w:gridCol w:w="2007"/>
        <w:gridCol w:w="31"/>
      </w:tblGrid>
      <w:tr w:rsidR="006109B7" w:rsidRPr="003475A0" w:rsidTr="0049588F">
        <w:trPr>
          <w:trHeight w:val="312"/>
          <w:jc w:val="center"/>
        </w:trPr>
        <w:tc>
          <w:tcPr>
            <w:tcW w:w="2038" w:type="dxa"/>
            <w:gridSpan w:val="2"/>
            <w:tcBorders>
              <w:bottom w:val="single" w:sz="4" w:space="0" w:color="auto"/>
            </w:tcBorders>
            <w:vAlign w:val="center"/>
          </w:tcPr>
          <w:p w:rsidR="006109B7" w:rsidRPr="003475A0" w:rsidRDefault="006109B7" w:rsidP="006600C9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6600C9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6109B7" w:rsidRPr="003475A0" w:rsidRDefault="006109B7" w:rsidP="006600C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6600C9">
            <w:pPr>
              <w:pStyle w:val="Heading3"/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3475A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West Bank</w:t>
            </w:r>
            <w:r w:rsidRPr="003475A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6600C9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3475A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6109B7" w:rsidRPr="003475A0" w:rsidRDefault="006109B7" w:rsidP="006600C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6600C9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6109B7" w:rsidRPr="003475A0" w:rsidRDefault="006109B7" w:rsidP="006600C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2038" w:type="dxa"/>
            <w:gridSpan w:val="2"/>
            <w:tcBorders>
              <w:bottom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37.64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38.82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38.89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32.88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4.66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5.07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4.27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4.39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C106AB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Al</w:t>
            </w:r>
            <w:r w:rsidR="006109B7"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coholic Beverages and tobacco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6.96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6.96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7.16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6.62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10.38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10.72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9.00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11.94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 والمفروشات والسلع  المنزلية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6.31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6.29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6.41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6.35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C106A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Furniture</w:t>
            </w:r>
            <w:r w:rsidR="00C106A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and</w:t>
            </w: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household goods 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4.45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5.26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3.87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9.86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9.58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8.75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12.38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3.79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3.87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3.41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4.27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 الخدمات الترفيهية و الثقافية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4.84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3.91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6.23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4.58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3.56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3.19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4.03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3.64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2.18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2.14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2.14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2.30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5.37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4.19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6.04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6.78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</w:tr>
      <w:tr w:rsidR="006109B7" w:rsidRPr="003475A0" w:rsidTr="003475A0">
        <w:trPr>
          <w:trHeight w:val="312"/>
          <w:jc w:val="center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B7" w:rsidRPr="003475A0" w:rsidRDefault="006109B7" w:rsidP="006600C9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1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ind w:firstLineChars="100" w:firstLine="161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09B7" w:rsidRPr="003475A0" w:rsidRDefault="006109B7" w:rsidP="003475A0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B7" w:rsidRPr="003475A0" w:rsidRDefault="006109B7" w:rsidP="00C106A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All </w:t>
            </w:r>
            <w:r w:rsidR="00C106A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</w:t>
            </w:r>
            <w:r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tems of </w:t>
            </w:r>
            <w:r w:rsidR="00B2104E" w:rsidRPr="003475A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consumer price index</w:t>
            </w:r>
          </w:p>
        </w:tc>
      </w:tr>
      <w:tr w:rsidR="006109B7" w:rsidRPr="003475A0" w:rsidTr="006600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0" w:type="dxa"/>
          <w:wAfter w:w="31" w:type="dxa"/>
          <w:trHeight w:val="312"/>
          <w:jc w:val="center"/>
        </w:trPr>
        <w:tc>
          <w:tcPr>
            <w:tcW w:w="770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109B7" w:rsidRPr="003475A0" w:rsidRDefault="006109B7" w:rsidP="00B46A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3475A0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="00AA0063" w:rsidRPr="003475A0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3475A0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="00B46AD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محافظة</w:t>
            </w:r>
            <w:r w:rsidRPr="003475A0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475A0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3475A0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3475A0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475A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</w:t>
            </w:r>
            <w:r w:rsidR="00B46AD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</w:t>
            </w:r>
            <w:r w:rsidR="003475A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</w:t>
            </w:r>
            <w:r w:rsidR="00B46AD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Pr="003475A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B46A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  <w:lang w:eastAsia="ar-SA"/>
              </w:rPr>
              <w:t xml:space="preserve"> </w:t>
            </w: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Data</w:t>
            </w:r>
            <w:r w:rsidR="00AA0063" w:rsidRPr="003475A0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="00C106AB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does</w:t>
            </w:r>
            <w:r w:rsidR="00AA0063" w:rsidRPr="003475A0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not</w:t>
            </w: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include Jerusalem</w:t>
            </w:r>
            <w:r w:rsidR="00B46AD6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g</w:t>
            </w:r>
            <w:r w:rsidR="00B46AD6" w:rsidRPr="00B46AD6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overnorate</w:t>
            </w:r>
            <w:r w:rsidRPr="003475A0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. </w:t>
            </w:r>
            <w:r w:rsidRPr="003475A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C1711F" w:rsidRPr="001F1156" w:rsidRDefault="00C1711F">
      <w:pPr>
        <w:jc w:val="both"/>
        <w:rPr>
          <w:rFonts w:cs="Simplified Arabic"/>
          <w:color w:val="000000" w:themeColor="text1"/>
          <w:rtl/>
        </w:rPr>
      </w:pPr>
    </w:p>
    <w:p w:rsidR="00C1711F" w:rsidRPr="001F1156" w:rsidRDefault="00C1711F">
      <w:pPr>
        <w:jc w:val="both"/>
        <w:rPr>
          <w:rFonts w:cs="Simplified Arabic"/>
          <w:color w:val="000000" w:themeColor="text1"/>
          <w:rtl/>
        </w:rPr>
      </w:pPr>
    </w:p>
    <w:p w:rsidR="00C1711F" w:rsidRPr="001F1156" w:rsidRDefault="00C1711F">
      <w:pPr>
        <w:jc w:val="both"/>
        <w:rPr>
          <w:rFonts w:cs="Simplified Arabic"/>
          <w:color w:val="000000" w:themeColor="text1"/>
          <w:rtl/>
        </w:rPr>
      </w:pPr>
    </w:p>
    <w:p w:rsidR="00095F0A" w:rsidRPr="001F1156" w:rsidRDefault="00095F0A">
      <w:pPr>
        <w:jc w:val="both"/>
        <w:rPr>
          <w:rFonts w:cs="Simplified Arabic"/>
          <w:color w:val="000000" w:themeColor="text1"/>
          <w:rtl/>
        </w:rPr>
      </w:pPr>
    </w:p>
    <w:p w:rsidR="00095F0A" w:rsidRPr="001F1156" w:rsidRDefault="00095F0A">
      <w:pPr>
        <w:jc w:val="both"/>
        <w:rPr>
          <w:rFonts w:cs="Simplified Arabic"/>
          <w:color w:val="000000" w:themeColor="text1"/>
          <w:rtl/>
        </w:rPr>
      </w:pPr>
    </w:p>
    <w:p w:rsidR="00095F0A" w:rsidRPr="001F1156" w:rsidRDefault="00095F0A">
      <w:pPr>
        <w:jc w:val="both"/>
        <w:rPr>
          <w:rFonts w:cs="Simplified Arabic"/>
          <w:color w:val="000000" w:themeColor="text1"/>
          <w:rtl/>
        </w:rPr>
      </w:pPr>
    </w:p>
    <w:p w:rsidR="00623DAA" w:rsidRPr="001F1156" w:rsidRDefault="00623DAA">
      <w:pPr>
        <w:bidi w:val="0"/>
        <w:rPr>
          <w:rFonts w:cs="Simplified Arabic"/>
          <w:color w:val="000000" w:themeColor="text1"/>
          <w:rtl/>
        </w:rPr>
      </w:pPr>
      <w:r w:rsidRPr="001F1156">
        <w:rPr>
          <w:rFonts w:cs="Simplified Arabic"/>
          <w:color w:val="000000" w:themeColor="text1"/>
          <w:rtl/>
        </w:rPr>
        <w:br w:type="page"/>
      </w:r>
    </w:p>
    <w:p w:rsidR="00EB2C6A" w:rsidRPr="001F1156" w:rsidRDefault="00EB2C6A">
      <w:pPr>
        <w:jc w:val="both"/>
        <w:rPr>
          <w:rFonts w:cs="Simplified Arabic"/>
          <w:color w:val="000000" w:themeColor="text1"/>
          <w:rtl/>
        </w:rPr>
      </w:pPr>
    </w:p>
    <w:p w:rsidR="00EB2C6A" w:rsidRPr="001F1156" w:rsidRDefault="00EB2C6A">
      <w:pPr>
        <w:jc w:val="both"/>
        <w:rPr>
          <w:rFonts w:cs="Simplified Arabic"/>
          <w:color w:val="000000" w:themeColor="text1"/>
          <w:rtl/>
        </w:rPr>
      </w:pPr>
    </w:p>
    <w:p w:rsidR="00095F0A" w:rsidRPr="001F1156" w:rsidRDefault="00095F0A">
      <w:pPr>
        <w:jc w:val="both"/>
        <w:rPr>
          <w:rFonts w:cs="Simplified Arabic"/>
          <w:color w:val="000000" w:themeColor="text1"/>
          <w:rtl/>
        </w:rPr>
      </w:pPr>
    </w:p>
    <w:sectPr w:rsidR="00095F0A" w:rsidRPr="001F1156" w:rsidSect="003B51C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851" w:bottom="1134" w:left="1134" w:header="680" w:footer="680" w:gutter="0"/>
      <w:pgNumType w:start="149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DF6" w:rsidRDefault="00B35DF6">
      <w:r>
        <w:separator/>
      </w:r>
    </w:p>
  </w:endnote>
  <w:endnote w:type="continuationSeparator" w:id="0">
    <w:p w:rsidR="00B35DF6" w:rsidRDefault="00B3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A5" w:rsidRDefault="003D71A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776A5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776A5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D776A5" w:rsidRDefault="00D776A5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A5" w:rsidRDefault="003D71A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D776A5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B2104E">
      <w:rPr>
        <w:rStyle w:val="PageNumber"/>
        <w:rFonts w:cs="Times New Roman"/>
        <w:sz w:val="16"/>
        <w:szCs w:val="16"/>
        <w:rtl/>
      </w:rPr>
      <w:t>154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D776A5" w:rsidRDefault="00D776A5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53" w:rsidRPr="00B71722" w:rsidRDefault="003D71A4">
    <w:pPr>
      <w:pStyle w:val="Footer"/>
      <w:jc w:val="center"/>
      <w:rPr>
        <w:rFonts w:cs="Times New Roman"/>
        <w:sz w:val="16"/>
        <w:szCs w:val="16"/>
      </w:rPr>
    </w:pPr>
    <w:r w:rsidRPr="00B71722">
      <w:rPr>
        <w:rFonts w:cs="Times New Roman"/>
        <w:sz w:val="16"/>
        <w:szCs w:val="16"/>
      </w:rPr>
      <w:fldChar w:fldCharType="begin"/>
    </w:r>
    <w:r w:rsidR="009B2E89" w:rsidRPr="00B71722">
      <w:rPr>
        <w:rFonts w:cs="Times New Roman"/>
        <w:sz w:val="16"/>
        <w:szCs w:val="16"/>
      </w:rPr>
      <w:instrText xml:space="preserve"> PAGE   \* MERGEFORMAT </w:instrText>
    </w:r>
    <w:r w:rsidRPr="00B71722">
      <w:rPr>
        <w:rFonts w:cs="Times New Roman"/>
        <w:sz w:val="16"/>
        <w:szCs w:val="16"/>
      </w:rPr>
      <w:fldChar w:fldCharType="separate"/>
    </w:r>
    <w:r w:rsidR="00B2104E">
      <w:rPr>
        <w:rFonts w:cs="Times New Roman"/>
        <w:sz w:val="16"/>
        <w:szCs w:val="16"/>
        <w:rtl/>
      </w:rPr>
      <w:t>149</w:t>
    </w:r>
    <w:r w:rsidRPr="00B71722">
      <w:rPr>
        <w:rFonts w:cs="Times New Roman"/>
        <w:sz w:val="16"/>
        <w:szCs w:val="16"/>
      </w:rPr>
      <w:fldChar w:fldCharType="end"/>
    </w:r>
  </w:p>
  <w:p w:rsidR="00662A53" w:rsidRDefault="00662A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DF6" w:rsidRDefault="00B35DF6">
      <w:r>
        <w:separator/>
      </w:r>
    </w:p>
  </w:footnote>
  <w:footnote w:type="continuationSeparator" w:id="0">
    <w:p w:rsidR="00B35DF6" w:rsidRDefault="00B35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A5" w:rsidRDefault="00D776A5" w:rsidP="002C7987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0A12CE">
      <w:rPr>
        <w:rFonts w:cs="Simplified Arabic" w:hint="cs"/>
        <w:sz w:val="16"/>
        <w:szCs w:val="16"/>
        <w:rtl/>
      </w:rPr>
      <w:t>201</w:t>
    </w:r>
    <w:r w:rsidR="002C7987">
      <w:rPr>
        <w:rFonts w:cs="Simplified Arabic" w:hint="cs"/>
        <w:sz w:val="16"/>
        <w:szCs w:val="16"/>
        <w:rtl/>
      </w:rPr>
      <w:t>4</w:t>
    </w:r>
    <w:r>
      <w:rPr>
        <w:rFonts w:cs="Simplified Arabic" w:hint="cs"/>
        <w:sz w:val="16"/>
        <w:szCs w:val="16"/>
        <w:rtl/>
      </w:rPr>
      <w:t xml:space="preserve">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1A60AB">
      <w:rPr>
        <w:rFonts w:cs="Simplified Arabic" w:hint="cs"/>
        <w:sz w:val="16"/>
        <w:szCs w:val="16"/>
        <w:rtl/>
      </w:rPr>
      <w:t>السادس</w:t>
    </w:r>
    <w:r>
      <w:rPr>
        <w:rFonts w:cs="Simplified Arabic" w:hint="cs"/>
        <w:sz w:val="16"/>
        <w:szCs w:val="16"/>
        <w:rtl/>
      </w:rPr>
      <w:t xml:space="preserve"> عشر</w:t>
    </w:r>
    <w:r>
      <w:rPr>
        <w:rFonts w:cs="Simplified Arabic"/>
        <w:sz w:val="16"/>
        <w:szCs w:val="16"/>
        <w:rtl/>
      </w:rPr>
      <w:t>-</w:t>
    </w:r>
    <w:r w:rsidR="00993289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الأسعار والأرقام القياسية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53" w:rsidRPr="00662A53" w:rsidRDefault="00662A53" w:rsidP="002C7987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0A12CE">
      <w:rPr>
        <w:rFonts w:cs="Simplified Arabic" w:hint="cs"/>
        <w:sz w:val="16"/>
        <w:szCs w:val="16"/>
        <w:rtl/>
      </w:rPr>
      <w:t>201</w:t>
    </w:r>
    <w:r w:rsidR="002C7987">
      <w:rPr>
        <w:rFonts w:cs="Simplified Arabic" w:hint="cs"/>
        <w:sz w:val="16"/>
        <w:szCs w:val="16"/>
        <w:rtl/>
      </w:rPr>
      <w:t>4</w:t>
    </w:r>
    <w:r>
      <w:rPr>
        <w:rFonts w:cs="Simplified Arabic" w:hint="cs"/>
        <w:sz w:val="16"/>
        <w:szCs w:val="16"/>
        <w:rtl/>
      </w:rPr>
      <w:t xml:space="preserve">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1A60AB">
      <w:rPr>
        <w:rFonts w:cs="Simplified Arabic" w:hint="cs"/>
        <w:sz w:val="16"/>
        <w:szCs w:val="16"/>
        <w:rtl/>
      </w:rPr>
      <w:t>السادس</w:t>
    </w:r>
    <w:r>
      <w:rPr>
        <w:rFonts w:cs="Simplified Arabic" w:hint="cs"/>
        <w:sz w:val="16"/>
        <w:szCs w:val="16"/>
        <w:rtl/>
      </w:rPr>
      <w:t xml:space="preserve"> عشر</w:t>
    </w:r>
    <w:r>
      <w:rPr>
        <w:rFonts w:cs="Simplified Arabic"/>
        <w:sz w:val="16"/>
        <w:szCs w:val="16"/>
        <w:rtl/>
      </w:rPr>
      <w:t>-</w:t>
    </w:r>
    <w:r w:rsidR="00993289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الأسعار والأرقام القياسية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E68"/>
    <w:rsid w:val="00012000"/>
    <w:rsid w:val="000255C5"/>
    <w:rsid w:val="0002575F"/>
    <w:rsid w:val="00030C7F"/>
    <w:rsid w:val="00046D98"/>
    <w:rsid w:val="00047F22"/>
    <w:rsid w:val="00053782"/>
    <w:rsid w:val="00057844"/>
    <w:rsid w:val="0006052A"/>
    <w:rsid w:val="00063E48"/>
    <w:rsid w:val="000737BC"/>
    <w:rsid w:val="00075810"/>
    <w:rsid w:val="00081082"/>
    <w:rsid w:val="00082DE1"/>
    <w:rsid w:val="00084D92"/>
    <w:rsid w:val="00091CEC"/>
    <w:rsid w:val="00093196"/>
    <w:rsid w:val="00095F0A"/>
    <w:rsid w:val="000A12CE"/>
    <w:rsid w:val="000B4C2B"/>
    <w:rsid w:val="000B6DEA"/>
    <w:rsid w:val="000B71FD"/>
    <w:rsid w:val="000C0288"/>
    <w:rsid w:val="000C151E"/>
    <w:rsid w:val="000C2BFF"/>
    <w:rsid w:val="000D02CA"/>
    <w:rsid w:val="000D1E58"/>
    <w:rsid w:val="000D1F97"/>
    <w:rsid w:val="000E3FFC"/>
    <w:rsid w:val="000E51A2"/>
    <w:rsid w:val="000E649D"/>
    <w:rsid w:val="000F34F3"/>
    <w:rsid w:val="000F3C32"/>
    <w:rsid w:val="000F4613"/>
    <w:rsid w:val="000F531B"/>
    <w:rsid w:val="001010B3"/>
    <w:rsid w:val="00111238"/>
    <w:rsid w:val="0011387E"/>
    <w:rsid w:val="00140EE7"/>
    <w:rsid w:val="0014318B"/>
    <w:rsid w:val="00144080"/>
    <w:rsid w:val="0015177E"/>
    <w:rsid w:val="00156718"/>
    <w:rsid w:val="00160EAB"/>
    <w:rsid w:val="00162821"/>
    <w:rsid w:val="0017506B"/>
    <w:rsid w:val="00175ABA"/>
    <w:rsid w:val="00183684"/>
    <w:rsid w:val="00183C31"/>
    <w:rsid w:val="00185835"/>
    <w:rsid w:val="001862E2"/>
    <w:rsid w:val="00193EA2"/>
    <w:rsid w:val="001944FF"/>
    <w:rsid w:val="0019739F"/>
    <w:rsid w:val="001974F5"/>
    <w:rsid w:val="001A3144"/>
    <w:rsid w:val="001A5668"/>
    <w:rsid w:val="001A60AB"/>
    <w:rsid w:val="001A71CC"/>
    <w:rsid w:val="001B11A1"/>
    <w:rsid w:val="001B3ECC"/>
    <w:rsid w:val="001B5E9A"/>
    <w:rsid w:val="001C48EC"/>
    <w:rsid w:val="001C752C"/>
    <w:rsid w:val="001D2961"/>
    <w:rsid w:val="001D330A"/>
    <w:rsid w:val="001D3784"/>
    <w:rsid w:val="001F01D3"/>
    <w:rsid w:val="001F1156"/>
    <w:rsid w:val="001F1520"/>
    <w:rsid w:val="001F6791"/>
    <w:rsid w:val="00200CF5"/>
    <w:rsid w:val="00202625"/>
    <w:rsid w:val="00202642"/>
    <w:rsid w:val="00205748"/>
    <w:rsid w:val="00216557"/>
    <w:rsid w:val="00222570"/>
    <w:rsid w:val="00223662"/>
    <w:rsid w:val="00223F27"/>
    <w:rsid w:val="002539C0"/>
    <w:rsid w:val="00261B53"/>
    <w:rsid w:val="0027189E"/>
    <w:rsid w:val="0027200D"/>
    <w:rsid w:val="00273090"/>
    <w:rsid w:val="002741AC"/>
    <w:rsid w:val="0028686D"/>
    <w:rsid w:val="0029278C"/>
    <w:rsid w:val="002A3E58"/>
    <w:rsid w:val="002A509D"/>
    <w:rsid w:val="002A60BD"/>
    <w:rsid w:val="002B029B"/>
    <w:rsid w:val="002B131C"/>
    <w:rsid w:val="002B1B18"/>
    <w:rsid w:val="002B2B19"/>
    <w:rsid w:val="002B38B2"/>
    <w:rsid w:val="002B79C9"/>
    <w:rsid w:val="002C41D6"/>
    <w:rsid w:val="002C7987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161B"/>
    <w:rsid w:val="0032267D"/>
    <w:rsid w:val="0032522B"/>
    <w:rsid w:val="003252AB"/>
    <w:rsid w:val="00330C3E"/>
    <w:rsid w:val="0033105F"/>
    <w:rsid w:val="0033183E"/>
    <w:rsid w:val="00332E2C"/>
    <w:rsid w:val="00332F2F"/>
    <w:rsid w:val="00334CCA"/>
    <w:rsid w:val="00337522"/>
    <w:rsid w:val="003421C8"/>
    <w:rsid w:val="003475A0"/>
    <w:rsid w:val="003476BA"/>
    <w:rsid w:val="00353859"/>
    <w:rsid w:val="00355DD5"/>
    <w:rsid w:val="0036219D"/>
    <w:rsid w:val="003637EE"/>
    <w:rsid w:val="00363F35"/>
    <w:rsid w:val="00364AD1"/>
    <w:rsid w:val="0038231A"/>
    <w:rsid w:val="00390F33"/>
    <w:rsid w:val="00392EC5"/>
    <w:rsid w:val="003964D8"/>
    <w:rsid w:val="003A647C"/>
    <w:rsid w:val="003B51CB"/>
    <w:rsid w:val="003C63AC"/>
    <w:rsid w:val="003C6650"/>
    <w:rsid w:val="003C6D43"/>
    <w:rsid w:val="003D596B"/>
    <w:rsid w:val="003D71A4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1FEB"/>
    <w:rsid w:val="003F6552"/>
    <w:rsid w:val="00414BD9"/>
    <w:rsid w:val="004221AB"/>
    <w:rsid w:val="00430986"/>
    <w:rsid w:val="004413EF"/>
    <w:rsid w:val="004440B0"/>
    <w:rsid w:val="00447D68"/>
    <w:rsid w:val="0045241C"/>
    <w:rsid w:val="00465E6D"/>
    <w:rsid w:val="0047040C"/>
    <w:rsid w:val="00470E12"/>
    <w:rsid w:val="004741C0"/>
    <w:rsid w:val="00475F10"/>
    <w:rsid w:val="00481097"/>
    <w:rsid w:val="0048506B"/>
    <w:rsid w:val="004870D5"/>
    <w:rsid w:val="004877E6"/>
    <w:rsid w:val="00492B86"/>
    <w:rsid w:val="004932E1"/>
    <w:rsid w:val="00495329"/>
    <w:rsid w:val="0049588F"/>
    <w:rsid w:val="004A4612"/>
    <w:rsid w:val="004C11A6"/>
    <w:rsid w:val="004C2970"/>
    <w:rsid w:val="004D1458"/>
    <w:rsid w:val="004D1C9A"/>
    <w:rsid w:val="004D5AD3"/>
    <w:rsid w:val="004E423E"/>
    <w:rsid w:val="004F0A93"/>
    <w:rsid w:val="00502D5C"/>
    <w:rsid w:val="005032C4"/>
    <w:rsid w:val="005061C9"/>
    <w:rsid w:val="0050736E"/>
    <w:rsid w:val="00510E3E"/>
    <w:rsid w:val="00513D39"/>
    <w:rsid w:val="00514565"/>
    <w:rsid w:val="00527074"/>
    <w:rsid w:val="005307E9"/>
    <w:rsid w:val="00537971"/>
    <w:rsid w:val="00540154"/>
    <w:rsid w:val="0054113A"/>
    <w:rsid w:val="00542F04"/>
    <w:rsid w:val="0057220A"/>
    <w:rsid w:val="00577B19"/>
    <w:rsid w:val="005803D4"/>
    <w:rsid w:val="00584026"/>
    <w:rsid w:val="00585507"/>
    <w:rsid w:val="00586240"/>
    <w:rsid w:val="00592D23"/>
    <w:rsid w:val="005A0169"/>
    <w:rsid w:val="005A1A89"/>
    <w:rsid w:val="005A2607"/>
    <w:rsid w:val="005A3D91"/>
    <w:rsid w:val="005A7B4E"/>
    <w:rsid w:val="005B291D"/>
    <w:rsid w:val="005B34AE"/>
    <w:rsid w:val="005B52E8"/>
    <w:rsid w:val="005B6D8F"/>
    <w:rsid w:val="005C03F1"/>
    <w:rsid w:val="005E0D3D"/>
    <w:rsid w:val="00601BD2"/>
    <w:rsid w:val="00602194"/>
    <w:rsid w:val="00604BF2"/>
    <w:rsid w:val="00607FD2"/>
    <w:rsid w:val="006109B7"/>
    <w:rsid w:val="0061129C"/>
    <w:rsid w:val="006219B8"/>
    <w:rsid w:val="00623DAA"/>
    <w:rsid w:val="0063468F"/>
    <w:rsid w:val="00635B36"/>
    <w:rsid w:val="00635DA1"/>
    <w:rsid w:val="006416CA"/>
    <w:rsid w:val="00646AE4"/>
    <w:rsid w:val="00651E41"/>
    <w:rsid w:val="00654650"/>
    <w:rsid w:val="006600C9"/>
    <w:rsid w:val="00662A53"/>
    <w:rsid w:val="00662CB1"/>
    <w:rsid w:val="00671206"/>
    <w:rsid w:val="00680D22"/>
    <w:rsid w:val="00681E32"/>
    <w:rsid w:val="00687BF3"/>
    <w:rsid w:val="006951E4"/>
    <w:rsid w:val="006A17C8"/>
    <w:rsid w:val="006C4971"/>
    <w:rsid w:val="006C587E"/>
    <w:rsid w:val="006D0139"/>
    <w:rsid w:val="006D21AB"/>
    <w:rsid w:val="006D3677"/>
    <w:rsid w:val="006D6E3D"/>
    <w:rsid w:val="006E0F25"/>
    <w:rsid w:val="006E29F3"/>
    <w:rsid w:val="006E7177"/>
    <w:rsid w:val="006F7E6D"/>
    <w:rsid w:val="00705180"/>
    <w:rsid w:val="00710A5B"/>
    <w:rsid w:val="00712984"/>
    <w:rsid w:val="0071450B"/>
    <w:rsid w:val="00716037"/>
    <w:rsid w:val="00716F29"/>
    <w:rsid w:val="00720E7E"/>
    <w:rsid w:val="00724713"/>
    <w:rsid w:val="00730F12"/>
    <w:rsid w:val="0073691D"/>
    <w:rsid w:val="007611A9"/>
    <w:rsid w:val="00766565"/>
    <w:rsid w:val="00766A2D"/>
    <w:rsid w:val="00770183"/>
    <w:rsid w:val="007743F0"/>
    <w:rsid w:val="00775F8C"/>
    <w:rsid w:val="007873F5"/>
    <w:rsid w:val="00787878"/>
    <w:rsid w:val="0079225F"/>
    <w:rsid w:val="00794240"/>
    <w:rsid w:val="00797373"/>
    <w:rsid w:val="007A570D"/>
    <w:rsid w:val="007A749E"/>
    <w:rsid w:val="007B014E"/>
    <w:rsid w:val="007B14DF"/>
    <w:rsid w:val="007B7C42"/>
    <w:rsid w:val="007D1478"/>
    <w:rsid w:val="007D63F1"/>
    <w:rsid w:val="007D68D3"/>
    <w:rsid w:val="007E1E91"/>
    <w:rsid w:val="007E72D9"/>
    <w:rsid w:val="007F1229"/>
    <w:rsid w:val="00804177"/>
    <w:rsid w:val="0080574B"/>
    <w:rsid w:val="00810580"/>
    <w:rsid w:val="00813955"/>
    <w:rsid w:val="0081741E"/>
    <w:rsid w:val="00817ABB"/>
    <w:rsid w:val="00823D4F"/>
    <w:rsid w:val="00831520"/>
    <w:rsid w:val="00832EB3"/>
    <w:rsid w:val="00840216"/>
    <w:rsid w:val="008440CF"/>
    <w:rsid w:val="00847B7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94D35"/>
    <w:rsid w:val="00894E31"/>
    <w:rsid w:val="008A1F37"/>
    <w:rsid w:val="008A211C"/>
    <w:rsid w:val="008C4461"/>
    <w:rsid w:val="008F71F1"/>
    <w:rsid w:val="008F73B1"/>
    <w:rsid w:val="008F7DC5"/>
    <w:rsid w:val="009045E0"/>
    <w:rsid w:val="00904BB0"/>
    <w:rsid w:val="00905418"/>
    <w:rsid w:val="00905427"/>
    <w:rsid w:val="009079C3"/>
    <w:rsid w:val="00907D32"/>
    <w:rsid w:val="00911315"/>
    <w:rsid w:val="0091237F"/>
    <w:rsid w:val="00914F8C"/>
    <w:rsid w:val="00915BC2"/>
    <w:rsid w:val="009233D9"/>
    <w:rsid w:val="009332F2"/>
    <w:rsid w:val="00940B28"/>
    <w:rsid w:val="00941DAF"/>
    <w:rsid w:val="009440C9"/>
    <w:rsid w:val="00955C11"/>
    <w:rsid w:val="009614E6"/>
    <w:rsid w:val="0096159E"/>
    <w:rsid w:val="00976AA3"/>
    <w:rsid w:val="0097711C"/>
    <w:rsid w:val="00980D68"/>
    <w:rsid w:val="009839CB"/>
    <w:rsid w:val="0098475D"/>
    <w:rsid w:val="00985AC6"/>
    <w:rsid w:val="00991C99"/>
    <w:rsid w:val="00993289"/>
    <w:rsid w:val="009A6671"/>
    <w:rsid w:val="009B13EA"/>
    <w:rsid w:val="009B2E89"/>
    <w:rsid w:val="009D40CD"/>
    <w:rsid w:val="009D66CB"/>
    <w:rsid w:val="009D7441"/>
    <w:rsid w:val="009E2944"/>
    <w:rsid w:val="009E34ED"/>
    <w:rsid w:val="009E780E"/>
    <w:rsid w:val="009F4D28"/>
    <w:rsid w:val="009F51C7"/>
    <w:rsid w:val="009F6EAF"/>
    <w:rsid w:val="00A0254B"/>
    <w:rsid w:val="00A07C2C"/>
    <w:rsid w:val="00A12B49"/>
    <w:rsid w:val="00A14EAC"/>
    <w:rsid w:val="00A17479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5EB4"/>
    <w:rsid w:val="00A57BF1"/>
    <w:rsid w:val="00A66A8D"/>
    <w:rsid w:val="00A74583"/>
    <w:rsid w:val="00A83AC9"/>
    <w:rsid w:val="00A85621"/>
    <w:rsid w:val="00A95385"/>
    <w:rsid w:val="00A95509"/>
    <w:rsid w:val="00A95844"/>
    <w:rsid w:val="00AA0063"/>
    <w:rsid w:val="00AB276F"/>
    <w:rsid w:val="00AB5701"/>
    <w:rsid w:val="00AB77A1"/>
    <w:rsid w:val="00AC3EA0"/>
    <w:rsid w:val="00AC577A"/>
    <w:rsid w:val="00AC5EFF"/>
    <w:rsid w:val="00AE00D1"/>
    <w:rsid w:val="00AE7E50"/>
    <w:rsid w:val="00AF5156"/>
    <w:rsid w:val="00AF5D17"/>
    <w:rsid w:val="00B0406F"/>
    <w:rsid w:val="00B078AF"/>
    <w:rsid w:val="00B12DD0"/>
    <w:rsid w:val="00B16149"/>
    <w:rsid w:val="00B2104E"/>
    <w:rsid w:val="00B27128"/>
    <w:rsid w:val="00B277A3"/>
    <w:rsid w:val="00B35DF6"/>
    <w:rsid w:val="00B365C4"/>
    <w:rsid w:val="00B37BA4"/>
    <w:rsid w:val="00B44162"/>
    <w:rsid w:val="00B46AD6"/>
    <w:rsid w:val="00B5424F"/>
    <w:rsid w:val="00B65739"/>
    <w:rsid w:val="00B65CD7"/>
    <w:rsid w:val="00B66897"/>
    <w:rsid w:val="00B66AA1"/>
    <w:rsid w:val="00B67160"/>
    <w:rsid w:val="00B701CE"/>
    <w:rsid w:val="00B709E2"/>
    <w:rsid w:val="00B71722"/>
    <w:rsid w:val="00B71F8B"/>
    <w:rsid w:val="00B72425"/>
    <w:rsid w:val="00B85D34"/>
    <w:rsid w:val="00B93B91"/>
    <w:rsid w:val="00B964B4"/>
    <w:rsid w:val="00B9679C"/>
    <w:rsid w:val="00BA0027"/>
    <w:rsid w:val="00BA56B1"/>
    <w:rsid w:val="00BA6FB3"/>
    <w:rsid w:val="00BB761D"/>
    <w:rsid w:val="00BC2EED"/>
    <w:rsid w:val="00BC58AA"/>
    <w:rsid w:val="00BC69F5"/>
    <w:rsid w:val="00BD15CE"/>
    <w:rsid w:val="00BD569D"/>
    <w:rsid w:val="00BD5F4D"/>
    <w:rsid w:val="00BD772D"/>
    <w:rsid w:val="00BE0DC4"/>
    <w:rsid w:val="00BE583C"/>
    <w:rsid w:val="00BE6404"/>
    <w:rsid w:val="00C02985"/>
    <w:rsid w:val="00C06247"/>
    <w:rsid w:val="00C06C6F"/>
    <w:rsid w:val="00C106AB"/>
    <w:rsid w:val="00C1133B"/>
    <w:rsid w:val="00C1172C"/>
    <w:rsid w:val="00C11A99"/>
    <w:rsid w:val="00C1350F"/>
    <w:rsid w:val="00C1711F"/>
    <w:rsid w:val="00C17997"/>
    <w:rsid w:val="00C202F1"/>
    <w:rsid w:val="00C303DA"/>
    <w:rsid w:val="00C3100B"/>
    <w:rsid w:val="00C3287C"/>
    <w:rsid w:val="00C3296D"/>
    <w:rsid w:val="00C32E61"/>
    <w:rsid w:val="00C41240"/>
    <w:rsid w:val="00C436AE"/>
    <w:rsid w:val="00C43A0B"/>
    <w:rsid w:val="00C442DF"/>
    <w:rsid w:val="00C6023A"/>
    <w:rsid w:val="00C60FCC"/>
    <w:rsid w:val="00C72350"/>
    <w:rsid w:val="00C73F81"/>
    <w:rsid w:val="00C762B0"/>
    <w:rsid w:val="00C855C0"/>
    <w:rsid w:val="00C92C45"/>
    <w:rsid w:val="00C934E0"/>
    <w:rsid w:val="00C937F7"/>
    <w:rsid w:val="00CA0990"/>
    <w:rsid w:val="00CA2080"/>
    <w:rsid w:val="00CA24F4"/>
    <w:rsid w:val="00CA46B2"/>
    <w:rsid w:val="00CA4A9F"/>
    <w:rsid w:val="00CA539F"/>
    <w:rsid w:val="00CC59E2"/>
    <w:rsid w:val="00CD6A62"/>
    <w:rsid w:val="00CE56F3"/>
    <w:rsid w:val="00CE5B83"/>
    <w:rsid w:val="00CF4056"/>
    <w:rsid w:val="00D05453"/>
    <w:rsid w:val="00D06BD2"/>
    <w:rsid w:val="00D1261F"/>
    <w:rsid w:val="00D137D6"/>
    <w:rsid w:val="00D22F54"/>
    <w:rsid w:val="00D237EC"/>
    <w:rsid w:val="00D24E91"/>
    <w:rsid w:val="00D34430"/>
    <w:rsid w:val="00D36236"/>
    <w:rsid w:val="00D372C9"/>
    <w:rsid w:val="00D410CC"/>
    <w:rsid w:val="00D50A5C"/>
    <w:rsid w:val="00D542FD"/>
    <w:rsid w:val="00D5562B"/>
    <w:rsid w:val="00D56147"/>
    <w:rsid w:val="00D60A31"/>
    <w:rsid w:val="00D72F2E"/>
    <w:rsid w:val="00D776A5"/>
    <w:rsid w:val="00D77A74"/>
    <w:rsid w:val="00D871C8"/>
    <w:rsid w:val="00D91524"/>
    <w:rsid w:val="00DA6BBA"/>
    <w:rsid w:val="00DA73A1"/>
    <w:rsid w:val="00DA7A77"/>
    <w:rsid w:val="00DB7125"/>
    <w:rsid w:val="00DD548B"/>
    <w:rsid w:val="00DD5B70"/>
    <w:rsid w:val="00DE0DD2"/>
    <w:rsid w:val="00DE58E8"/>
    <w:rsid w:val="00DE7079"/>
    <w:rsid w:val="00DE7A6C"/>
    <w:rsid w:val="00DF2025"/>
    <w:rsid w:val="00DF4718"/>
    <w:rsid w:val="00DF5A41"/>
    <w:rsid w:val="00E00BA1"/>
    <w:rsid w:val="00E02640"/>
    <w:rsid w:val="00E02A64"/>
    <w:rsid w:val="00E10BAA"/>
    <w:rsid w:val="00E149D9"/>
    <w:rsid w:val="00E14D2C"/>
    <w:rsid w:val="00E14F82"/>
    <w:rsid w:val="00E20903"/>
    <w:rsid w:val="00E21095"/>
    <w:rsid w:val="00E23B7B"/>
    <w:rsid w:val="00E2608A"/>
    <w:rsid w:val="00E3222F"/>
    <w:rsid w:val="00E4774C"/>
    <w:rsid w:val="00E477C7"/>
    <w:rsid w:val="00E53257"/>
    <w:rsid w:val="00E545E1"/>
    <w:rsid w:val="00E54BFD"/>
    <w:rsid w:val="00E55948"/>
    <w:rsid w:val="00E570A6"/>
    <w:rsid w:val="00E60E4F"/>
    <w:rsid w:val="00E63059"/>
    <w:rsid w:val="00E64A99"/>
    <w:rsid w:val="00E83551"/>
    <w:rsid w:val="00E83865"/>
    <w:rsid w:val="00E8599D"/>
    <w:rsid w:val="00E92432"/>
    <w:rsid w:val="00EB03CD"/>
    <w:rsid w:val="00EB12A2"/>
    <w:rsid w:val="00EB2C6A"/>
    <w:rsid w:val="00EC6752"/>
    <w:rsid w:val="00ED4BA2"/>
    <w:rsid w:val="00EE0219"/>
    <w:rsid w:val="00EE264F"/>
    <w:rsid w:val="00EF22EF"/>
    <w:rsid w:val="00EF35EB"/>
    <w:rsid w:val="00F006B4"/>
    <w:rsid w:val="00F025A8"/>
    <w:rsid w:val="00F10775"/>
    <w:rsid w:val="00F216AE"/>
    <w:rsid w:val="00F2250C"/>
    <w:rsid w:val="00F22CBD"/>
    <w:rsid w:val="00F246BC"/>
    <w:rsid w:val="00F35CE0"/>
    <w:rsid w:val="00F3630F"/>
    <w:rsid w:val="00F41D68"/>
    <w:rsid w:val="00F44879"/>
    <w:rsid w:val="00F453AB"/>
    <w:rsid w:val="00F4780E"/>
    <w:rsid w:val="00F5794A"/>
    <w:rsid w:val="00F60477"/>
    <w:rsid w:val="00F60A91"/>
    <w:rsid w:val="00F618D6"/>
    <w:rsid w:val="00F67DCF"/>
    <w:rsid w:val="00F74DFD"/>
    <w:rsid w:val="00F75F80"/>
    <w:rsid w:val="00F806B2"/>
    <w:rsid w:val="00F81BDB"/>
    <w:rsid w:val="00F873EF"/>
    <w:rsid w:val="00FA18FF"/>
    <w:rsid w:val="00FB398D"/>
    <w:rsid w:val="00FC0FCB"/>
    <w:rsid w:val="00FD0FF0"/>
    <w:rsid w:val="00FE1D03"/>
    <w:rsid w:val="00FE2390"/>
    <w:rsid w:val="00FE2826"/>
    <w:rsid w:val="00FE40DC"/>
    <w:rsid w:val="00FE4A8B"/>
    <w:rsid w:val="00FE4C19"/>
    <w:rsid w:val="00FE5CD7"/>
    <w:rsid w:val="00FF084C"/>
    <w:rsid w:val="00FF4671"/>
    <w:rsid w:val="00FF5BA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7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23B7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23B7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23B7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23B7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23B7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23B7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23B7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23B7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23B7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3B7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23B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23B7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23B7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23B7B"/>
    <w:rPr>
      <w:noProof w:val="0"/>
      <w:snapToGrid w:val="0"/>
    </w:rPr>
  </w:style>
  <w:style w:type="paragraph" w:styleId="BlockText">
    <w:name w:val="Block Text"/>
    <w:basedOn w:val="Normal"/>
    <w:semiHidden/>
    <w:rsid w:val="00E23B7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23B7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23B7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23B7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23B7B"/>
  </w:style>
  <w:style w:type="character" w:styleId="EndnoteReference">
    <w:name w:val="endnote reference"/>
    <w:basedOn w:val="DefaultParagraphFont"/>
    <w:semiHidden/>
    <w:rsid w:val="00E23B7B"/>
    <w:rPr>
      <w:vertAlign w:val="superscript"/>
    </w:rPr>
  </w:style>
  <w:style w:type="paragraph" w:styleId="BodyTextIndent">
    <w:name w:val="Body Text Indent"/>
    <w:basedOn w:val="Normal"/>
    <w:semiHidden/>
    <w:rsid w:val="00E23B7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23B7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23B7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23B7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23B7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23B7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23B7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2F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54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40422853047551"/>
          <c:y val="6.1889250814332587E-2"/>
          <c:w val="0.83081422940213667"/>
          <c:h val="0.69381107491857252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8004">
              <a:solidFill>
                <a:srgbClr val="3366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3366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3036096502697498E-2"/>
                  <c:y val="-5.882786803548288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1937608352461513E-2"/>
                  <c:y val="-5.9051795740722487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4605669678744027E-2"/>
                  <c:y val="-5.953619721585456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481351270205642E-2"/>
                  <c:y val="-6.943320376092250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0942073200259563E-2"/>
                  <c:y val="-7.835409814279574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5.8530183727034113E-2"/>
                  <c:y val="-5.3419382703744314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5.6278002150100224E-2"/>
                  <c:y val="-7.0835243695803893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6.444276568749939E-2"/>
                  <c:y val="-5.5530748529851487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6.0884252937017866E-2"/>
                  <c:y val="-5.7825176916176821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4288675170216516E-2"/>
                  <c:y val="-5.0454167912555324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6.1147107534067456E-2"/>
                  <c:y val="-7.4862620020599346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5821154274534876E-2"/>
                  <c:y val="-4.6230439549486926E-2"/>
                </c:manualLayout>
              </c:layout>
              <c:dLblPos val="r"/>
              <c:showVal val="1"/>
            </c:dLbl>
            <c:spPr>
              <a:noFill/>
              <a:ln w="25336">
                <a:noFill/>
              </a:ln>
            </c:spPr>
            <c:showVal val="1"/>
          </c:dLbls>
          <c:cat>
            <c:strRef>
              <c:f>Sheet1!$B$1:$M$1</c:f>
              <c:strCache>
                <c:ptCount val="12"/>
                <c:pt idx="0">
                  <c:v>كانون الثاني Jan</c:v>
                </c:pt>
                <c:pt idx="1">
                  <c:v>شباط Feb</c:v>
                </c:pt>
                <c:pt idx="2">
                  <c:v>آذار Mar</c:v>
                </c:pt>
                <c:pt idx="3">
                  <c:v>نيسان Apr</c:v>
                </c:pt>
                <c:pt idx="4">
                  <c:v>ايار May</c:v>
                </c:pt>
                <c:pt idx="5">
                  <c:v>حزيران Jun</c:v>
                </c:pt>
                <c:pt idx="6">
                  <c:v>تموز Jul</c:v>
                </c:pt>
                <c:pt idx="7">
                  <c:v>آب Aug</c:v>
                </c:pt>
                <c:pt idx="8">
                  <c:v>ايلول Sep</c:v>
                </c:pt>
                <c:pt idx="9">
                  <c:v>تشرين اول Oct</c:v>
                </c:pt>
                <c:pt idx="10">
                  <c:v>تشرين ثاني Nov</c:v>
                </c:pt>
                <c:pt idx="11">
                  <c:v>كانون اول Dec</c:v>
                </c:pt>
              </c:strCache>
            </c:strRef>
          </c:cat>
          <c:val>
            <c:numRef>
              <c:f>Sheet1!$B$2:$M$2</c:f>
              <c:numCache>
                <c:formatCode>0.00</c:formatCode>
                <c:ptCount val="12"/>
                <c:pt idx="0">
                  <c:v>140.54976742346716</c:v>
                </c:pt>
                <c:pt idx="1">
                  <c:v>139.83443501677797</c:v>
                </c:pt>
                <c:pt idx="2">
                  <c:v>138.88006846483364</c:v>
                </c:pt>
                <c:pt idx="3">
                  <c:v>138.58170357046257</c:v>
                </c:pt>
                <c:pt idx="4">
                  <c:v>139.17128814276401</c:v>
                </c:pt>
                <c:pt idx="5">
                  <c:v>140.44769784638873</c:v>
                </c:pt>
                <c:pt idx="6">
                  <c:v>140.73598927099872</c:v>
                </c:pt>
                <c:pt idx="7">
                  <c:v>141.84241770451817</c:v>
                </c:pt>
                <c:pt idx="8">
                  <c:v>142.22598028982048</c:v>
                </c:pt>
                <c:pt idx="9">
                  <c:v>142.73764202571272</c:v>
                </c:pt>
                <c:pt idx="10">
                  <c:v>141.89176992318554</c:v>
                </c:pt>
                <c:pt idx="11">
                  <c:v>143.89395424879558</c:v>
                </c:pt>
              </c:numCache>
            </c:numRef>
          </c:val>
        </c:ser>
        <c:marker val="1"/>
        <c:axId val="68958848"/>
        <c:axId val="68985600"/>
      </c:lineChart>
      <c:catAx>
        <c:axId val="68958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الشهر  </a:t>
                </a:r>
                <a:r>
                  <a:rPr lang="en-US" b="1"/>
                  <a:t>Month</a:t>
                </a:r>
              </a:p>
            </c:rich>
          </c:tx>
          <c:layout>
            <c:manualLayout>
              <c:xMode val="edge"/>
              <c:yMode val="edge"/>
              <c:x val="0.41996233521657439"/>
              <c:y val="0.92833876221498368"/>
            </c:manualLayout>
          </c:layout>
          <c:spPr>
            <a:noFill/>
            <a:ln w="25336">
              <a:noFill/>
            </a:ln>
          </c:spPr>
        </c:title>
        <c:numFmt formatCode="General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ar-SA"/>
          </a:p>
        </c:txPr>
        <c:crossAx val="68985600"/>
        <c:crosses val="autoZero"/>
        <c:auto val="1"/>
        <c:lblAlgn val="ctr"/>
        <c:lblOffset val="100"/>
        <c:tickLblSkip val="1"/>
        <c:tickMarkSkip val="1"/>
      </c:catAx>
      <c:valAx>
        <c:axId val="68985600"/>
        <c:scaling>
          <c:orientation val="minMax"/>
          <c:max val="145"/>
          <c:min val="135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الرقم القياسي  </a:t>
                </a:r>
                <a:r>
                  <a:rPr lang="en-US" b="1"/>
                  <a:t>Price Index</a:t>
                </a:r>
              </a:p>
            </c:rich>
          </c:tx>
          <c:layout>
            <c:manualLayout>
              <c:xMode val="edge"/>
              <c:yMode val="edge"/>
              <c:x val="7.3800738007380523E-3"/>
              <c:y val="0.22801289079371478"/>
            </c:manualLayout>
          </c:layout>
          <c:spPr>
            <a:noFill/>
            <a:ln w="25336">
              <a:noFill/>
            </a:ln>
          </c:spPr>
        </c:title>
        <c:numFmt formatCode="0.00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68958848"/>
        <c:crosses val="autoZero"/>
        <c:crossBetween val="between"/>
      </c:valAx>
      <c:spPr>
        <a:noFill/>
        <a:ln w="2533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8BD1B-F8FF-4E61-8ED8-9F3C62C2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505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maen</cp:lastModifiedBy>
  <cp:revision>25</cp:revision>
  <cp:lastPrinted>2014-02-09T09:32:00Z</cp:lastPrinted>
  <dcterms:created xsi:type="dcterms:W3CDTF">2013-05-22T06:23:00Z</dcterms:created>
  <dcterms:modified xsi:type="dcterms:W3CDTF">2014-06-08T11:52:00Z</dcterms:modified>
</cp:coreProperties>
</file>